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9A" w:rsidRDefault="002F609A" w:rsidP="008C53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09A" w:rsidRDefault="00DD1A82" w:rsidP="002F60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Разъяснение налогового законодательства </w:t>
      </w:r>
    </w:p>
    <w:p w:rsidR="00DD1A82" w:rsidRDefault="00DD1A82" w:rsidP="002F60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возмещения ущерба от налоговых преступлений</w:t>
      </w:r>
    </w:p>
    <w:p w:rsidR="002F609A" w:rsidRPr="00DD1A82" w:rsidRDefault="002F609A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1064 Гражданского кодекса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Истцами по уголовным делам о преступлениях, предусмотренных 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ст.ст. 198, 199, 199.1 и 199.2 Уголовного кодекса РФ, могут выступать органы прокуратуры, а в качестве гражданского ответчика может быть привлечено физическое или юридическое лицо, которое в соответствии с законодательством (ст. 1064 Гражданского кодекса РФ) несет ответственность за вред, причиненный преступлением (ст. 54 Уголовно-процессуального кодекса РФ).</w:t>
      </w:r>
      <w:proofErr w:type="gramEnd"/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35 Федерального закона от 17.01.1992 № 2202-1 «О прокуратуре Российской Федерации» прокурор в соответствии с процессуальным законодательством Российской Федерации вправе обратиться в суд с заявлением, если этого требует защита прав граждан и охраняемых законом интересов общества или государства.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прокурора на обращение в суд о возмещении причиненного государству ущерба предусмотрено ч. 3 ст. 44 Уголовно-процессуального кодекса Российской Федерации, в соответствии с которой гражданский иск в защиту интересов государства может быть предъявлен прокурором.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Конституционного суда РФ от 08.12.2017 № 39-П определены условия, при которых возможно предъявление к физическим лицам, обвиняемым в совершении налоговых преступлений, исков о взыскании причиненного в результате их совершений ущерба бюджетной системе РФ, а именно в случаях: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в единый государственный реестр юридических лиц сведений о прекращении организации-налогоплательщика;</w:t>
      </w:r>
    </w:p>
    <w:p w:rsidR="00DD1A82" w:rsidRPr="00DD1A82" w:rsidRDefault="00694F74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DD1A82"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того,что организация-налогоплательщик является фактически недействующей;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взыскания с организации-неплательщика либо с лиц, привлекаемых к ответственности по её долгам, налоговой недоимки на основании норм налогового и гражданского законодательства.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РФ в своем постановлении от 28.12.2016 № 64 "О практике применения судами уголовного законодательства об ответственности за налоговые преступления» разъяснил, что в приговорах по делам о преступлениях, предусмотренных ст.ст. 198, 199, 199.1 и 199.2 Уголовного кодекса РФ должно содержаться решение по предъявленному гражданскому иску.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по уголовным делам об уклонении от уплаты налогов и (или) сборов не подлежит удовлетворению гражданский иск в части взыскания с виновного штрафа, поскольку в соответствии с п. 3 ст. 108 Налогового кодекса РФ предусмотренная данным кодексом ответственность (в виде штрафа) за деяние, совершенное физическим лицом, наступает в том случае, если деяние не содержит признаков состава преступления, предусмотренного уголовным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РФ.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E4F" w:rsidRDefault="00DD1A82" w:rsidP="002E5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закон о защите прав потребителей, </w:t>
      </w:r>
    </w:p>
    <w:p w:rsidR="00DD1A82" w:rsidRDefault="00DD1A82" w:rsidP="001B5E4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подачи и рассмотрения обращений</w:t>
      </w:r>
    </w:p>
    <w:p w:rsidR="001B5E4F" w:rsidRPr="00DD1A82" w:rsidRDefault="001B5E4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  Российской Федерации подписал Федеральный закон «О внесении изменений в Закон Российской Федерации «О защите прав потребителей» в части совершенствования государственной политики в сфере защиты прав потребителей».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уточняются отдельные положения Закона Российской Федерации «О защите прав потребителей», касающиеся подачи и рассмотрения обращений потребителей.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потребителя может быть направлено в письменной форме на бумажном носителе или в электронной форме в уполномоченный федеральный орган исполнительной власти, осуществляющий федеральный государственный надзор в области защиты прав потребителей, иные уполномоченные федеральные органы исполнительной власти, орган исполнительной власти субъекта Российской Федерации или орган местного самоуправления.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приём обращений потребителей и консультирование потребителей по вопросам защиты их прав могут осуществляться в многофункциональных центрах предоставления государственных и муниципальных услуг на основании соглашений о взаимодействии между такими центрами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Федеральным законом устанавливается, что в целях содействия защите прав потребителей органы исполнительной власти субъектов Российской Федерации разрабатывают региональные программы по защите прав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 и оказывают содействие органам местного самоуправления и общественным объединениям потребителей (их ассоциациям, союзам) в осуществлении ими защиты прав потребителей. Органы местного самоуправления вправе разрабатывать муниципальные программы по защите прав потребителей.</w:t>
      </w: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67798B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F74" w:rsidRPr="0067798B" w:rsidRDefault="00694F74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DD1A82" w:rsidRDefault="00DD1A82" w:rsidP="00694F7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невыплату заработной платы, пенсии, стипендий, пособий и иных выплат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145.1 Уголовного кодекса Российской Федерации установлена уголовная ответственность за невыплату заработной платы, пенсии, стипендий, пособий и иных выплат.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37 Конституции РФ каждый имеет право на вознаграждение за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какой бы то ни было дискриминации и не ниже установленного федеральным законом минимального размера оплаты труда.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объектом рассматриваемого преступления выступает обеспечение права каждого работника на своевременное в полном размере выплату заработной платы, а также права на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145.1 УК РФ установлена ответственность за частичную свыше трех месяцев невыплату заработной платы, пенсий, стипендий, пособий и иных установленных выплат. Таким образом, задолженность по указанным выплатам в течение трех месяцев с момента установления срока первоначальной выплаты является основанием для уголовной ответственности.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частичной невыплатой следует понимать осуществление платежа в размере менее половины подлежащей выплате суммы.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полной невыплаты свыше двух месяцев заработной платы, пенсий, стипендий,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уголовную ответственность по части 2 статьи 145.1 УК РФ.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статьи 145.1 УК РФ установлена ответственность за совершение деяния, предусмотренного частями 1 и 2 указанной статьи, в случаях, если они повлекли наступление тяжких последствий, таких как утрату трудоспособности,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заболевание, инвалидность, вред здоровью, смерть человека, уничтожение или повреждение имущества.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признаком данного преступления является мотив – корыстная или иная личная заинтересованность.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частичную невыплату свыше трех месяцев заработной платы и иных обязательных выплат частью 1 статьи 145.1 УК РФ предусмотрено наказание в виде штрафа в размере до ста двадцати тысяч рублей или в размере заработной платы или иного дохода осужденного за период до одного года, либо лишением права занимать определенные должности или заниматься определенной деятельностью на срок до одного года, либо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принудительными работами на срок до двух лет, либо лишением свободы на срок до одного года.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полной невыплаты указанных платежей в течение двух месяцев виновному лицу может быть назначено наказание по ч. 2 ст. 145.1 УК РФ в виде штрафа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тяжких последствий санкцией части 3 статьи 145.1 УК РФ предусмотрено наказание в виде штрафа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деятельностью на срок до пяти лет или без такового.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06557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06557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06557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06557" w:rsidRPr="0067798B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DD1A82" w:rsidRPr="0067798B" w:rsidRDefault="00DD1A82" w:rsidP="00F065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7798B">
        <w:rPr>
          <w:b/>
          <w:bCs/>
          <w:sz w:val="28"/>
          <w:szCs w:val="28"/>
        </w:rPr>
        <w:t>Юридическим и бухгалтерским фирмам передано полномочие по блокировке денег клиентов из «черных списков»</w:t>
      </w:r>
    </w:p>
    <w:p w:rsidR="00F06557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Федеральным законом от 18.03.2019 № 33-ФЗ «О внесении изменений в статьи 7 и 7.1 Федерального закона «О противодействии легализации (отмыванию) доходов, полученных преступным путем, и финансированию терроризма» и статьи 7 и 10 Федерального закона «О национальной платежной системе» юридическим и бухгалтерским фирмам передано полномочие по блокировке денег клиентов из «черных списков».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Все они теперь должны применять меры по замораживанию (блокированию) денег или иного имущества клиентов, которые попали в «черные списки» </w:t>
      </w:r>
      <w:proofErr w:type="spellStart"/>
      <w:r w:rsidRPr="0067798B">
        <w:rPr>
          <w:sz w:val="28"/>
          <w:szCs w:val="28"/>
        </w:rPr>
        <w:t>Росфинмониторинга</w:t>
      </w:r>
      <w:proofErr w:type="spellEnd"/>
      <w:r w:rsidRPr="0067798B">
        <w:rPr>
          <w:sz w:val="28"/>
          <w:szCs w:val="28"/>
        </w:rPr>
        <w:t>. Речь идет о перечнях физических лиц и организаций, связанных с экстремизмом или терроризмом, а также распространением оружия массового уничтожения.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Как именно исполнять требование, новые поправки не устанавливают. Вместе с тем в начале марта появилось письмо </w:t>
      </w:r>
      <w:proofErr w:type="spellStart"/>
      <w:r w:rsidRPr="0067798B">
        <w:rPr>
          <w:sz w:val="28"/>
          <w:szCs w:val="28"/>
        </w:rPr>
        <w:t>Росфинмониторинга</w:t>
      </w:r>
      <w:proofErr w:type="spellEnd"/>
      <w:r w:rsidRPr="0067798B">
        <w:rPr>
          <w:sz w:val="28"/>
          <w:szCs w:val="28"/>
        </w:rPr>
        <w:t>, из которого можно узнать некоторые подробности. Так, замораживать безналичные деньги нужно путем запрета совершать операции: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- за счет денег, которые поступили от клиента из «черного списка» или от третьего лица, но для этого клиента;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- по выплате денег такому клиенту по какому-либо договору.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Закон также устанавливает, что из-за блокировки денег и имущества у адвокатов, нотариусов, представителей юридического и бухгалтерского консалтинга гражданско-правовая ответственность не возникнет.</w:t>
      </w: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b/>
          <w:bCs/>
          <w:sz w:val="28"/>
          <w:szCs w:val="28"/>
        </w:rPr>
        <w:t xml:space="preserve">Работа в праздники и выходные должна оплачиваться </w:t>
      </w:r>
      <w:proofErr w:type="gramStart"/>
      <w:r w:rsidRPr="0067798B">
        <w:rPr>
          <w:b/>
          <w:bCs/>
          <w:sz w:val="28"/>
          <w:szCs w:val="28"/>
        </w:rPr>
        <w:t>сверх</w:t>
      </w:r>
      <w:proofErr w:type="gramEnd"/>
      <w:r w:rsidRPr="0067798B">
        <w:rPr>
          <w:b/>
          <w:bCs/>
          <w:sz w:val="28"/>
          <w:szCs w:val="28"/>
        </w:rPr>
        <w:t xml:space="preserve"> МРОТ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 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Конституционный Суд, пояснил, что повышенная оплата сверхурочной работы, работы в ночное время, выходные и нерабочие праздничные дни не должна включаться в МРОТ (Постановление Конституционного Суда РФ от 11 апреля 2019 г. № 17-П).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КС РФ пришел к выводу, что заработная плата в размере не ниже МРОТ и повышенная оплата в случае выполнения работы в условиях, отклоняющихся </w:t>
      </w:r>
      <w:proofErr w:type="gramStart"/>
      <w:r w:rsidRPr="0067798B">
        <w:rPr>
          <w:sz w:val="28"/>
          <w:szCs w:val="28"/>
        </w:rPr>
        <w:t>от</w:t>
      </w:r>
      <w:proofErr w:type="gramEnd"/>
      <w:r w:rsidRPr="0067798B">
        <w:rPr>
          <w:sz w:val="28"/>
          <w:szCs w:val="28"/>
        </w:rPr>
        <w:t xml:space="preserve"> нормальных, в том числе за сверхурочную работу, работу в ночное время, в выходные и нерабочие праздничные дни должна быть в равной степени гарантирована каждому работнику. При этом месячная заработная плата работников, привлеченных к выполнению работы в таких условиях не должна отличаться от оплаты труда лиц, работающих в обычных условиях.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Суть дела заключалась в том, что гражданин Ж. работал сторожем в АО «В» с должностным окладом в размере 4268 руб., к которому применялись районный коэффициент и процентная надбавка за работу в приравненных к районам Крайнего Севера местностях. Также ему выплачивались и другие надбавки и доплаты, предусмотренные локальными нормативными актами работодателя. Сверхурочная работа, работа в ночное время, в выходные и нерабочие праздничные дни заявителя оплачивалась в повышенном размере исходя из установленного оклада. Последний был ниже регионального МРОТ, однако при оценке соответствия ему оплаты труда учитывался не только он, но и все выплаты, включая оплату сверхурочной работы, работы в ночное время, в выходные и нерабочие праздничные дни. Гражданин Ж. счел, что такие действия работодателя не позволяют ему получать справедливую заработную плату и обратился в суд.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 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6557" w:rsidRDefault="00F06557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A82" w:rsidRDefault="00DD1A82" w:rsidP="00F06557">
      <w:pPr>
        <w:shd w:val="clear" w:color="auto" w:fill="FFFFFF"/>
        <w:spacing w:after="0" w:line="240" w:lineRule="auto"/>
        <w:ind w:right="-2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Расширен перечень преступлений, уголовные дела о которых подлежат прекращению при возмещении ущерба</w:t>
      </w:r>
    </w:p>
    <w:p w:rsidR="00F06557" w:rsidRPr="00DD1A82" w:rsidRDefault="00F06557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27.12.2018 № 533-ФЗ внесены изменения в Уголовный кодекс Российской Федерации и Уголовно-процессуальный кодекс Российской Федерации, которыми расширен перечень преступлений, уголовные дела о которых подлежат прекращению при возмещении ущерба.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этой категории отнесены преступления, предусмотренные частями первой и второй статьи 145.1 УК РФ — невыплата заработной платы; частью 1 статьи 146 УК РФ — присвоение авторства (плагиат); частью 1 статьи 147 УК РФ — незаконное использование изобретения, полезной модели или промышленного образца; частью 1 статьи 160 — присвоение или растрата; частью 1 статьи 165 УК РФ — причинение имущественного ущерба путем обмана или злоупотребления доверием при отсутствии признаков хищения, совершенное в крупном размере; частями 5-7 статьи 159 УК РФ — мошенничество; частью 1 статьи 159.1 УК РФ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ошенничество в сфере кредитования; частью 1 статьи 159.2 УК РФ -мошенничество при получении выплат; частью 1 статьи 159.3 УК РФ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 с использованием электронных средств платежа; частью 1 статьи 159.5 УК РФ — мошенничество в сфере страхования; частью 1 статьи 159.6 УК РФ — мошенничество в сфере компьютерной информации.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согласно примечания к статье 145.1 УК РФ, лицо, впервые совершившее преступление, предусмотренное частями первой и второй статьи 145.1 УК РФ, 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(выплатило денежную компенсацию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определяемом законодательством Российской Федерации, и если в его действиях не содержится иного состава преступления.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1A82" w:rsidRPr="0067798B" w:rsidRDefault="00DD1A82" w:rsidP="00F065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Об уголовной ответственности за неисполнение судебного акта</w:t>
      </w:r>
    </w:p>
    <w:p w:rsidR="00F06557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Федеральным законом от 02.10.2018 № 348-ФЗ внесены изменения в статью 315 Уголовного кодекса Российской Федерации, а именно введена уголовная ответственность за злостное неисполнение приговора, решения или иного акта суда о прекращении распространения порочащей информации.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798B">
        <w:rPr>
          <w:sz w:val="28"/>
          <w:szCs w:val="28"/>
        </w:rPr>
        <w:t>За злостное неисполнение вступивших в законную силу приговора суда, решения суда или иного судебного акта, а равно воспрепятствование их исполнению лицом, подвергнутым административному наказанию за деяние, предусмотренное ч. 4 ст. 17.15 КоАП РФ, за неисполнение судебного акта о прекращении распространения информации и (или) об опровержении ранее распространенной информации, совершенное в отношении того же судебного акта, законодателем установлена уголовная ответственность.</w:t>
      </w:r>
      <w:proofErr w:type="gramEnd"/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798B">
        <w:rPr>
          <w:sz w:val="28"/>
          <w:szCs w:val="28"/>
        </w:rPr>
        <w:t>Наказание по этой статье предусмотрено в виде штрафа до 50 тыс. рублей или в размере заработной платы или иного дохода осужденного за период до 6 месяцев, либо в виде обязательных работ до 1 года, либо в виде ареста на срок до 3 месяцев, либо в виде лишения свободы на срок до 1 года.</w:t>
      </w:r>
      <w:proofErr w:type="gramEnd"/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 </w:t>
      </w: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06557" w:rsidRPr="0067798B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570F" w:rsidRPr="0067798B" w:rsidRDefault="00A4570F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06557" w:rsidRDefault="00DD1A82" w:rsidP="00F065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67798B">
        <w:rPr>
          <w:b/>
          <w:bCs/>
          <w:sz w:val="28"/>
          <w:szCs w:val="28"/>
        </w:rPr>
        <w:t xml:space="preserve">Вопрос: Если сотрудник отказывается работать </w:t>
      </w:r>
    </w:p>
    <w:p w:rsidR="00DD1A82" w:rsidRDefault="00DD1A82" w:rsidP="00F065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67798B">
        <w:rPr>
          <w:b/>
          <w:bCs/>
          <w:sz w:val="28"/>
          <w:szCs w:val="28"/>
        </w:rPr>
        <w:t>в другом кабинете, можно ли его за это уволить?</w:t>
      </w:r>
    </w:p>
    <w:p w:rsidR="00F06557" w:rsidRPr="0067798B" w:rsidRDefault="00F06557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Например: медсестру </w:t>
      </w:r>
      <w:hyperlink r:id="rId4" w:history="1">
        <w:r w:rsidRPr="0067798B">
          <w:rPr>
            <w:rStyle w:val="a5"/>
            <w:color w:val="auto"/>
            <w:sz w:val="28"/>
            <w:szCs w:val="28"/>
          </w:rPr>
          <w:t>переместили</w:t>
        </w:r>
      </w:hyperlink>
      <w:r w:rsidRPr="0067798B">
        <w:rPr>
          <w:sz w:val="28"/>
          <w:szCs w:val="28"/>
        </w:rPr>
        <w:t xml:space="preserve"> из одного кабинета в другой в том же отделении. Новое место находилось в филиале </w:t>
      </w:r>
      <w:proofErr w:type="spellStart"/>
      <w:r w:rsidRPr="0067798B">
        <w:rPr>
          <w:sz w:val="28"/>
          <w:szCs w:val="28"/>
        </w:rPr>
        <w:t>медцентра</w:t>
      </w:r>
      <w:proofErr w:type="spellEnd"/>
      <w:r w:rsidRPr="0067798B">
        <w:rPr>
          <w:sz w:val="28"/>
          <w:szCs w:val="28"/>
        </w:rPr>
        <w:t>, где сотрудница трудилась и ранее. Она отказалась выполнять распоряжение и осталась на прежнем месте. Поскольку сотрудница отсутствовала в новом кабинете, ее уволили за </w:t>
      </w:r>
      <w:hyperlink r:id="rId5" w:history="1">
        <w:r w:rsidRPr="0067798B">
          <w:rPr>
            <w:rStyle w:val="a5"/>
            <w:color w:val="auto"/>
            <w:sz w:val="28"/>
            <w:szCs w:val="28"/>
          </w:rPr>
          <w:t>прогул</w:t>
        </w:r>
      </w:hyperlink>
      <w:r w:rsidRPr="0067798B">
        <w:rPr>
          <w:sz w:val="28"/>
          <w:szCs w:val="28"/>
        </w:rPr>
        <w:t>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Первая инстанция поддержала работодателя, но Московский городской суд </w:t>
      </w:r>
      <w:hyperlink r:id="rId6" w:history="1">
        <w:r w:rsidRPr="0067798B">
          <w:rPr>
            <w:rStyle w:val="a5"/>
            <w:color w:val="auto"/>
            <w:sz w:val="28"/>
            <w:szCs w:val="28"/>
          </w:rPr>
          <w:t>восстановил</w:t>
        </w:r>
      </w:hyperlink>
      <w:r w:rsidRPr="0067798B">
        <w:rPr>
          <w:sz w:val="28"/>
          <w:szCs w:val="28"/>
        </w:rPr>
        <w:t> работницу (апелляционное </w:t>
      </w:r>
      <w:hyperlink r:id="rId7" w:history="1">
        <w:r w:rsidRPr="0067798B">
          <w:rPr>
            <w:rStyle w:val="a5"/>
            <w:color w:val="auto"/>
            <w:sz w:val="28"/>
            <w:szCs w:val="28"/>
          </w:rPr>
          <w:t>определение</w:t>
        </w:r>
      </w:hyperlink>
      <w:r w:rsidRPr="0067798B">
        <w:rPr>
          <w:sz w:val="28"/>
          <w:szCs w:val="28"/>
        </w:rPr>
        <w:t> Московского городского суда от 24.01.2019 по делу № 33-1263/2019). Суд указал, что в трудовом договоре </w:t>
      </w:r>
      <w:hyperlink r:id="rId8" w:history="1">
        <w:r w:rsidRPr="0067798B">
          <w:rPr>
            <w:rStyle w:val="a5"/>
            <w:color w:val="auto"/>
            <w:sz w:val="28"/>
            <w:szCs w:val="28"/>
          </w:rPr>
          <w:t>рабочим местом</w:t>
        </w:r>
      </w:hyperlink>
      <w:r w:rsidRPr="0067798B">
        <w:rPr>
          <w:sz w:val="28"/>
          <w:szCs w:val="28"/>
        </w:rPr>
        <w:t> было установлено отделение филиала организации. Сотрудница находилась в этом отделении и продолжала выполнять свои обязанности. Значит, прогула не было.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Суд отметил, что нарушение все же допущено: не исполнено распоряжение работодателя о перемещении. Тем самым, организация могла </w:t>
      </w:r>
      <w:hyperlink r:id="rId9" w:history="1">
        <w:r w:rsidRPr="0067798B">
          <w:rPr>
            <w:rStyle w:val="a5"/>
            <w:color w:val="auto"/>
            <w:sz w:val="28"/>
            <w:szCs w:val="28"/>
          </w:rPr>
          <w:t>привлечь</w:t>
        </w:r>
      </w:hyperlink>
      <w:r w:rsidRPr="0067798B">
        <w:rPr>
          <w:sz w:val="28"/>
          <w:szCs w:val="28"/>
        </w:rPr>
        <w:t> работницу к дисциплинарной ответственности, но по другому основанию.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Возмещение вреда, причиненного преступлением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возмещения вреда лицами, совершившими запрещенное уголовным законом деяние в состоянии невменяемости, или лицами, у которых после совершения преступления наступило психическое расстройство, делающее невозможным назначение наказание или его исполнение» Конституция Российской Федерации, провозглашая права и свободы человека высшей ценностью, а защиту прав и свобод гражданина - обязанностью государства, гарантирует каждому право на возмещение вре</w:t>
      </w:r>
      <w:r w:rsidR="00F06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причиненного преступлением.</w:t>
      </w:r>
      <w:proofErr w:type="gramEnd"/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потерпевшего от преступления на возмещение ущерба закреплено ст. 52 Конституции Российской Федерации, согласно которой 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 Реализовать данное конституционное право потерпевшим от преступлений позволяет уголовно-процессуальное право, которое тесно взаимодействует с нормами иных отраслей права, прежде всего, конечно, уголовного, уголовно-исполнительного, гражданского, гражданского процессуального, но также административного, трудового, жилищного и финансового.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закон содержит условия, побуждающие виновных к добровольному возмещению причиненного вреда.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ст. 74 УК РФ, обязанностью условно осужденного лица, помимо его исправления, является еще и возмещение вреда, причиненного преступлением, в размере, определенном решением суда. При уклонении условно осужденного от выполнения возложенных на него обязанностей, в том числе и по возмещению причиненного им ущерба, судом может быть продлен испытательный срок (ч. 2 ст. 74 УК РФ).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случае систематического уклонения условно осужденного от возмещения ущерба в течение продленного испытательного срока, суд по представлению органа, осуществляющего контроль за поведением условно осужденного, может вынести решение </w:t>
      </w:r>
      <w:proofErr w:type="spell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ототмене</w:t>
      </w:r>
      <w:proofErr w:type="spell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условного осуждения и исполнении наказания, назначенного судом (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2.1. ст. 74 УК РФ).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возмещения причиненного преступлением ущерба потерпевшему содержатся в ст. 79 УК РФ в отношении лица, претендующего на условно-досрочное освобождение от уголовного наказания или на замену </w:t>
      </w:r>
      <w:proofErr w:type="spell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более мягким видом наказания (ст. 80 УК РФ). Требование полного возмещения вреда содержится в ч. 5 ст. 86 УК РФ при решении вопроса о снятии судимости.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Уголовно-процессуальное законодательство также предусматривает возможность освобождения от уголовной ответственности лиц, впервые совершивших преступление, деятельно раскаявшихся в нем и возместивших причиненный ущерб, что побуждает виновных лиц еще в досудебном производстве добровольно возместить вред или загладить его.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лиц, обвиняемых в совершении преступлений, причинивших физический, моральный или материальный вред потерпевшим и не возместивших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добровольно, возможно рассмотрение гражданского иска непосредственно с рассмотрением уголовного дела, что способствует экономии времени по возмещению материального ущерба потерпевшим. 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всегда суд в порядке уголовного судопроизводства может разрешить вопросы возмещения вреда, причиненного преступлением.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судом в порядке, установленном ст.ст. 433-443 УПК РФ, рассматривается вопрос о применении принудительных мер медицинского характера в отношении лица, совершившего запрещенное уголовным законом деяние в состоянии невменяемости, или лица, у которого после совершения преступления наступило психическое расстройство, делающее невозможным назначение наказания или его исполнение, то гражданский иск к причинившему вред не подлежит рассмотрению, что не препятствует последующему предъявлению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 и его рассмотрению в порядке гражданского судопроизводства, о чем суд принимает соответствующее решение.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 порядок формирования списка детей-сирот и детей, оставшихся без попечения родителей, лиц из числа детей-сирот и детей, </w:t>
      </w: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оставшихся без попечения родителей, которые подлежат обеспечению жилыми помещениями»</w:t>
      </w:r>
    </w:p>
    <w:p w:rsidR="00F06557" w:rsidRPr="00DD1A82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предусмотрено, что орган исполнительной власти субъекта Российской Федерации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29.07.2018 № 267-ФЗ, который вступил в силу 1 января 2019 года, статья 8 Федерального закона «О дополнительных гарантиях по социальной поддержке детей-сирот и детей, оставшихся без попечения родителей» дополнена пунктом 3.1, согласно которому дети-сироты и дети, оставшиеся без попечения родителей, лица из числа детей-сирот и детей, оставшихся без попечения родителей, исключаются из списка в случае:</w:t>
      </w:r>
      <w:proofErr w:type="gramEnd"/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включения их в список в другом субъекте Российской Федерации в связи со сменой места жительства. Порядок исключения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Федерации;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прекращения у них гражданства Российской Федерации, если иное не предусмотрено международным договором Российской Федерации;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смерти или объявления их умершими в порядке, установленном законодательством Российской Федерации.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такие лица исключались из списка только в случаях предоставления им жилых помещений, либо утраты ими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Pr="0067798B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отдельные законодательные акты в целях противодействия коррупции</w:t>
      </w:r>
    </w:p>
    <w:p w:rsidR="00F06557" w:rsidRPr="00DD1A82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Президентом Российской Федерации подписан Федеральный закон от 06.02.2019 № 5-ФЗ «О внесении изменений в отдельные законодательные акты Российской Федерации в целях противодействия коррупции».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на Генеральную прокуратуру Российской Федерации возлагаются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предусмотрено, что при необходимости Генеральная прокуратура Российской Федерации направляет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запрещается открывать и иметь счета (вклады), хранить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названной информации из зарубежных кредитных организаций регламентирован с целью формирования единой практики направления запросов, взаимодействия по ним с банками и иными организациями иностранных государств, ее обобщения и совершенствования в целях повышения результативности исполнения запросов.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вступлением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и муниципальных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данных норм Генеральной прокуратурой Российской Федерации планируется подготовка организационно-распорядительных документов.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Pr="0067798B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2019 года и далее МРОТ будет устанавливаться ежегодно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 января 2019 года и далее ежегодно с 1 января соответствующего года МРОТ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устанавливаться федеральным законом в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величины прожиточного минимума трудоспособного населения в целом по РФ за второй квартал предыдущего года.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того, что приказом Минтруда России от 24.08.2018 № 550н прожиточный минимум трудоспособного населения в целом по Российской Федерации за II квартал 2018 года установлен в размере 11 280 рублей и действовавший с 1 мая 2018 года МРОТ в размере 11 163 рублей повысился на 117 рублей, то с 01.01.2019 составляет 11 280 рублей.</w:t>
      </w:r>
      <w:proofErr w:type="gramEnd"/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трудового законодательства работодатели не имеют права платить заработную плату в размере, ниже указанного.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согласно </w:t>
      </w:r>
      <w:hyperlink r:id="rId10" w:history="1">
        <w:r w:rsidRPr="006779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6 ст. 5.27</w:t>
        </w:r>
      </w:hyperlink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 установление заработной платы в размере менее размера, предусмотренного трудовым законодательством,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- от тридцати тысяч до пятидесяти тысяч рублей.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Pr="0067798B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Жилищный кодекс Российской Федерации внесены изменения по вопросам, регулирующих переустройство и (или) перепланировку помещений в многоквартирном доме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27.12.2018 № 558-ФЗ «О внесении изменений в Жилищный кодекс Российской Федерации в части упорядочивания норм, регулирующих переустройство и (или) перепланировку помещений в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доме» внесены изменения в ст. 4, 8, 12, 14, 20, 25, 26, 27, 28, 29, 44 Жилищного кодекса Российской Федерации.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помещения в многоквартирном доме — это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 Перепланировка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 8 января Жилищный кодекс РФ будет регулировать перепланировку не только жилых, но и нежилых помещений.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глава 4 Жилищного кодекса регулировала переустройство и перепланировку только жилых помещений. Новым федеральным законом в статьях 4, 8, 12, 14, 25, 26, 27, 28, 29 главы 4 Жилищного кодекса термин «жилые помещения»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заменяется на термин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«помещения в многоквартирном доме». Таким образом, устанавливается единый порядок переустройства и (или) перепланировки как жилых, так и нежилых помещений в многоквартирном доме.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перепланировки и переустройства любых помещений будут </w:t>
      </w:r>
      <w:hyperlink r:id="rId11" w:history="1">
        <w:r w:rsidRPr="006779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контролировать</w:t>
        </w:r>
      </w:hyperlink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органы исполнительной власти субъектов РФ.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собственников помещений в жилом доме </w:t>
      </w:r>
      <w:hyperlink r:id="rId12" w:history="1">
        <w:r w:rsidRPr="006779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будет принимать решения</w:t>
        </w:r>
      </w:hyperlink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переустройстве и перепланировке помещения, которое входит в состав общего имущества в доме.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игнорирования законных требований,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переустроившее и (или) перепланировавшее помещение в многоквартирном доме несёт административную ответственность.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собственникам необходимо помнить о том, что в случае самовольной перепланировки, переустройства, в соответствии с частью 6 статьи 29 Жилищного кодекса, обязанность по приведению помещения в прежнее состояние, не осуществлённая прежним собственником, переходит к новому собственнику данного помещения (п. 14 Обзора судебной практики Верховного Суда Российской Федерации №1 (2017), утверждённый Президиумом Верховного Суда Российской Федерации 16.02.2017).</w:t>
      </w:r>
      <w:proofErr w:type="gramEnd"/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Pr="0067798B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Увеличена сумма задолженности, при которой исполнительный документ может направляться для удержания </w:t>
      </w:r>
    </w:p>
    <w:p w:rsidR="00DD1A82" w:rsidRP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денежных средств с источника дохода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27.12.2018 № 539-ФЗ «О внесении изменения в статью 9 Федерального закона «Об исполнительном производстве» с двадцати пяти тысяч рублей до ста тысяч рублей увеличена сумма задолженности, при которой исполнительный документ может направляться для удержания денежных средств в организацию или иному лицу, выплачивающему должнику заработную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плату, пенсию, стипендию и иные периодические платежи, непосредственно взыскателем.</w:t>
      </w:r>
      <w:proofErr w:type="gramEnd"/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вступил в силу 08.01.2019.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Pr="00DD1A82" w:rsidRDefault="00DD1A82" w:rsidP="00F06557">
      <w:pPr>
        <w:shd w:val="clear" w:color="auto" w:fill="FFFFFF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если гражданин проживает в муниципальной квартире – кто должен уплачивать взносы на капитальный ремонт?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169 Жилищного кодекса РФ установлена обязанность собственников помещений в многоквартирном доме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ежемесячные взносы на капитальный ремонт общего имущества в многоквартирном доме.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154 Жилищного кодекса плата за жилое помещение и коммунальные услуги для собственника помещения в многоквартирном доме включает в себя, в том числе, взнос на капитальный ремонт.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если собственниками помещений являются органы местного самоуправления муниципальных образований, то обязанность уплачивать взносы на капитальный ремонт лежит на таких органах.</w:t>
      </w:r>
    </w:p>
    <w:p w:rsidR="00A4570F" w:rsidRPr="0067798B" w:rsidRDefault="00A4570F" w:rsidP="00DD1A8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DD1A8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4570F" w:rsidRPr="0067798B" w:rsidRDefault="00A4570F" w:rsidP="00A4570F"/>
    <w:p w:rsidR="00A4570F" w:rsidRPr="0067798B" w:rsidRDefault="00A4570F" w:rsidP="00A4570F"/>
    <w:p w:rsidR="00A4570F" w:rsidRPr="0067798B" w:rsidRDefault="00A4570F" w:rsidP="00DD1A8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4570F" w:rsidRPr="0067798B" w:rsidRDefault="00A4570F" w:rsidP="00A4570F"/>
    <w:p w:rsidR="00A4570F" w:rsidRPr="0067798B" w:rsidRDefault="00A4570F" w:rsidP="00A4570F"/>
    <w:p w:rsidR="00A4570F" w:rsidRDefault="00A4570F" w:rsidP="00DD1A8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F06557" w:rsidRPr="00F06557" w:rsidRDefault="00F06557" w:rsidP="00F06557"/>
    <w:p w:rsidR="00A4570F" w:rsidRPr="0067798B" w:rsidRDefault="00A4570F" w:rsidP="00DD1A8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DD1A82" w:rsidRDefault="00DD1A82" w:rsidP="00F06557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798B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Дополнительное профессиональное образование граждан </w:t>
      </w:r>
      <w:proofErr w:type="spellStart"/>
      <w:r w:rsidRPr="0067798B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Pr="0067798B">
        <w:rPr>
          <w:rFonts w:ascii="Times New Roman" w:hAnsi="Times New Roman" w:cs="Times New Roman"/>
          <w:color w:val="auto"/>
          <w:sz w:val="28"/>
          <w:szCs w:val="28"/>
        </w:rPr>
        <w:t xml:space="preserve"> возраста</w:t>
      </w:r>
    </w:p>
    <w:p w:rsidR="00F06557" w:rsidRPr="00F06557" w:rsidRDefault="00F06557" w:rsidP="00F06557">
      <w:pPr>
        <w:jc w:val="center"/>
      </w:pP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Правительством РФ разработана программа дополнительного профессионального образования граждан в целях содействия занятости лиц </w:t>
      </w:r>
      <w:proofErr w:type="spellStart"/>
      <w:r w:rsidRPr="0067798B">
        <w:rPr>
          <w:sz w:val="28"/>
          <w:szCs w:val="28"/>
        </w:rPr>
        <w:t>предпенсионного</w:t>
      </w:r>
      <w:proofErr w:type="spellEnd"/>
      <w:r w:rsidRPr="0067798B">
        <w:rPr>
          <w:sz w:val="28"/>
          <w:szCs w:val="28"/>
        </w:rPr>
        <w:t xml:space="preserve"> возраста (распоряжение Правительства РФ от 30.12.2018 N 3025-р «Об утверждении специальной программы профессионального обучения и дополнительного профессионального образования граждан </w:t>
      </w:r>
      <w:proofErr w:type="spellStart"/>
      <w:r w:rsidRPr="0067798B">
        <w:rPr>
          <w:sz w:val="28"/>
          <w:szCs w:val="28"/>
        </w:rPr>
        <w:t>предпенсионного</w:t>
      </w:r>
      <w:proofErr w:type="spellEnd"/>
      <w:r w:rsidRPr="0067798B">
        <w:rPr>
          <w:sz w:val="28"/>
          <w:szCs w:val="28"/>
        </w:rPr>
        <w:t xml:space="preserve"> возраста на период до 2024 года»).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Программа разработана на период до 2024 года. 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Ее участниками могут являться как работники организаций, проходящие </w:t>
      </w:r>
      <w:proofErr w:type="gramStart"/>
      <w:r w:rsidRPr="0067798B">
        <w:rPr>
          <w:sz w:val="28"/>
          <w:szCs w:val="28"/>
        </w:rPr>
        <w:t>обучение по направлениям</w:t>
      </w:r>
      <w:proofErr w:type="gramEnd"/>
      <w:r w:rsidRPr="0067798B">
        <w:rPr>
          <w:sz w:val="28"/>
          <w:szCs w:val="28"/>
        </w:rPr>
        <w:t xml:space="preserve"> работодателей, так и граждане, самостоятельно обратившиеся в органы службы занятости населения. 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lastRenderedPageBreak/>
        <w:t>Предусматривается использование обучения с отрывом и без отрыва от трудовой деятельности, дистанционные образовательные технологии, вариативность сроков освоения образовательных программ, обучение в электронном виде. 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Предполагается использовать инструмент, аналогичный целевому обучению, а также устанавливать обязательства работодателей, по заявкам которых осуществлялось профессиональное обучение граждан </w:t>
      </w:r>
      <w:proofErr w:type="spellStart"/>
      <w:r w:rsidRPr="0067798B">
        <w:rPr>
          <w:sz w:val="28"/>
          <w:szCs w:val="28"/>
        </w:rPr>
        <w:t>предпенсионного</w:t>
      </w:r>
      <w:proofErr w:type="spellEnd"/>
      <w:r w:rsidRPr="0067798B">
        <w:rPr>
          <w:sz w:val="28"/>
          <w:szCs w:val="28"/>
        </w:rPr>
        <w:t xml:space="preserve"> возраста, в целях сохранения занятости или трудоустройства указанных граждан.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Координатором Программы является Минтруд России.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Информационные и образовательные услуги гражданам </w:t>
      </w:r>
      <w:proofErr w:type="spellStart"/>
      <w:r w:rsidRPr="0067798B">
        <w:rPr>
          <w:sz w:val="28"/>
          <w:szCs w:val="28"/>
        </w:rPr>
        <w:t>предпенсионного</w:t>
      </w:r>
      <w:proofErr w:type="spellEnd"/>
      <w:r w:rsidRPr="0067798B">
        <w:rPr>
          <w:sz w:val="28"/>
          <w:szCs w:val="28"/>
        </w:rPr>
        <w:t xml:space="preserve"> возраста предполагается </w:t>
      </w:r>
      <w:proofErr w:type="gramStart"/>
      <w:r w:rsidRPr="0067798B">
        <w:rPr>
          <w:sz w:val="28"/>
          <w:szCs w:val="28"/>
        </w:rPr>
        <w:t>оказывать</w:t>
      </w:r>
      <w:proofErr w:type="gramEnd"/>
      <w:r w:rsidRPr="0067798B">
        <w:rPr>
          <w:sz w:val="28"/>
          <w:szCs w:val="28"/>
        </w:rPr>
        <w:t xml:space="preserve"> в том числе в электронном виде с использованием Общероссийской базы вакансий "Работа в России" и ее подсистемы - Общероссийской социальной сети деловых контактов </w:t>
      </w:r>
      <w:proofErr w:type="spellStart"/>
      <w:r w:rsidRPr="0067798B">
        <w:rPr>
          <w:sz w:val="28"/>
          <w:szCs w:val="28"/>
        </w:rPr>
        <w:t>Skillsnet</w:t>
      </w:r>
      <w:proofErr w:type="spellEnd"/>
      <w:r w:rsidRPr="0067798B">
        <w:rPr>
          <w:sz w:val="28"/>
          <w:szCs w:val="28"/>
        </w:rPr>
        <w:t>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До конца 2024 года предполагается осуществить профессиональное обучение и дополнительное профессиональное образование не менее чем 450 тыс. граждан </w:t>
      </w:r>
      <w:proofErr w:type="spellStart"/>
      <w:r w:rsidRPr="0067798B">
        <w:rPr>
          <w:sz w:val="28"/>
          <w:szCs w:val="28"/>
        </w:rPr>
        <w:t>предпенсионного</w:t>
      </w:r>
      <w:proofErr w:type="spellEnd"/>
      <w:r w:rsidRPr="0067798B">
        <w:rPr>
          <w:sz w:val="28"/>
          <w:szCs w:val="28"/>
        </w:rPr>
        <w:t xml:space="preserve"> возраста. 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 xml:space="preserve">Для незанятых граждан, ищущих работу, в период обучения предусмотрена выплата стипендии. Расчетный размер стипендии равен минимальному </w:t>
      </w:r>
      <w:proofErr w:type="gramStart"/>
      <w:r w:rsidRPr="0067798B">
        <w:rPr>
          <w:sz w:val="28"/>
          <w:szCs w:val="28"/>
        </w:rPr>
        <w:t>размеру оплаты труда</w:t>
      </w:r>
      <w:proofErr w:type="gramEnd"/>
      <w:r w:rsidRPr="0067798B">
        <w:rPr>
          <w:sz w:val="28"/>
          <w:szCs w:val="28"/>
        </w:rPr>
        <w:t>. 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По окончании обучения с использованием любого механизма организации обучения будет проводиться экзамен, по итогам которого гражданам будут выдаваться документы о квалификации: удостоверение о повышении квалификации и (или) диплом о профессиональной переподготовке, образцы которых самостоятельно устанавливаются образовательными организациями.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Pr="0067798B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F06557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что делать, если родители запрещают </w:t>
      </w:r>
    </w:p>
    <w:p w:rsidR="00DD1A82" w:rsidRP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бабушке и дедушке видеться с внуком?</w:t>
      </w:r>
    </w:p>
    <w:p w:rsidR="00F06557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55 Семейного кодекса Российской Федерации закреплено право ребенка на общение с родственниками.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такой ситуации следует обратиться в орган опеки и попечительства администрации муниципального образования, который может обязать родителей не препятствовать этому общению.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решения органа опеки и попечительства бабушка или дедушка вправе подать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районный суд по месту жительства родителей иск об устранении препятствий к общению с ребенком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суд истребует у органа опеки и попечительства заключение, оценит доказательства, заслушает ребенка, если он достиг возраста 10 лет, и разрешит спор исходя из интересов ребенка.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суда будет отражено время, место, продолжительность и периодичность общения несовершеннолетнего с бабушкой или дедушкой.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вступления решения суда в законную силу необходимо подать заявление в суд о выдаче исполнительного листа и предоставить его в службу судебных приставов для принудительного исполнения.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лишение ребенка права на общение с близкими родственниками родители могут быть привлечены к административной ответственности в виде штрафа по ч. 2 ст. 5.35 Кодекса об административных правонарушениях Российской Федерации.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Конституционный Суд Российской Федерации 19.12.2018 вынес постановление № 45-П, которым рассмотрен вопрос соответствия Конституции Российской Федерации статьи 178 Трудового кодекса Российской Федерации (далее ТК РФ).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Указанной нормой закреплено право работника, уволенного в связи с ликвидацией организации, на сохранение месячного заработка на период трудоустройства, но не свыше двух месяцев со дня увольнения. Получить данную выплату у работодателя работник может либо после своего трудоустройства, либо по истечении двух месяцев с момента увольнения.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Поскольку к моменту возникновения этого права организация может быть ликвидирована, статья 178 ТК РФ признана судом не соответствующей Конституции Российской Федерации в той мере, в какой содержащееся в ней положение лишает возможности получить сохранение месячного заработка тем из работников, кто приобрел право на нее после ликвидации юридического лица.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798B">
        <w:rPr>
          <w:sz w:val="28"/>
          <w:szCs w:val="28"/>
        </w:rPr>
        <w:t>Конституционный Суд предписал законодателю определить правовой механизм реализации работниками указанного права после ликвидации организации. Пока этого не произойдет, Суд указал работодателям выбрать один из выходов из данной ситуации: увеличить размер выходного пособия либо использовать в интересах работников иные гражданско-правовые механизмы, не противоречащие законодательству.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оставление в опасности</w:t>
      </w:r>
    </w:p>
    <w:p w:rsidR="00F06557" w:rsidRPr="00DD1A82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125 Уголовного кодекса РФ предусматривает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случае, если виновный имел возможность оказать помощь этому лицу и был обязан иметь о нем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сам поставил его в опасное для жизни или здоровья состояние.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обязанности заботиться о потерпевшем предпол</w:t>
      </w:r>
      <w:r w:rsidR="00F0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агается в силу закона. Например,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Семейному кодексу РФ родители обязаны заботиться о детях, а дети о родителях, или договора об оказании услуг по уходу за больным, обучению плаванию, выполнению обязанности проводника группы в горах и т.п.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лицо само поставило потерпевшего в опасное для жизни состояние, независимо от того, имелась ли его вина в этом, оно обязано оказать помощь. Например, если потерпевший получил вред здоровью при столкновении с машиной, водитель транспортного средства, даже если он не нарушал Правил дорожного движения, должен принять меры по оказанию необходимой помощи пострадавшему.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Преступление считается совершенным самим фактом уклонения от оказания помощи лицу, находящемуся в опасном для жизни или здоровья состоянии, независимо от наступления каких-либо реальных последствий. Лицо совершает деяние в форме бездействия, сознавая, что оставляет потерпевшего в опасном для жизни состоянии.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за данное преступление подлежат лица, достигшие 16 лет.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Потерпевшим признается лицо, находящееся в опасном для жизни или здоровья состоянии, лишенное возможности принять меры к самосохранению в силу малолетства, старости, болезни или своей беспомощности, обусловленной, например беременностью, физическим недостатком.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оставления без помощи опасность для жизни или здоровья пострадавшего должна быть реальной.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уголовной ответственности за оставление в опасности является наличие у лица реальной возможности оказать помощь, что устанавливается в ходе дознания или следствия.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наказание, предусмотренное за данный вид преступления, составляет 1 год лишения свободы.</w:t>
      </w: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Pr="0067798B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70F" w:rsidRDefault="00A4570F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Pr="0067798B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7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на бесплатное обеспечение </w:t>
      </w:r>
    </w:p>
    <w:p w:rsidR="00DD1A82" w:rsidRDefault="00DD1A82" w:rsidP="00F065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лекарственными средствами детей в возрасте до 3 лет</w:t>
      </w:r>
    </w:p>
    <w:p w:rsidR="00F06557" w:rsidRPr="00DD1A82" w:rsidRDefault="00F06557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Российской Федерации гарантирует бесплатное обеспечение лекарственными препаратами и изделиями медикаментозного назначения отдельных категорий российских граждан.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№ 890 от 30.07.1994 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действующее в редакции от 14.02.2002 закреплено право на получение бесплатных лекарственных средств.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утвержден перечень групп населения, а также категорий заболеваний, при амбулаторном лечении которых лекарственные средства и изделия медикаментозного назначения отпускаются по рецептам врачей бесплатно. </w:t>
      </w:r>
    </w:p>
    <w:p w:rsidR="00F06557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перечне для детей первых трех лет жизни предусмотрен бесплатный отпуск всех лекарственных средств по рецепту врача. Для получения такого рецепта необходимо представить врачу-педиатру полис обязательного медицинского страхования ребенка, свидетельство о рождении ребенка,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 пенсионного страхования (карточка СНИЛС), а также подтверждение регистрации ребенка по месту жительства. При наличии всех вышеперечисленных документов врач обязан выписать необходимое лекарство.</w:t>
      </w:r>
    </w:p>
    <w:p w:rsidR="00DD1A82" w:rsidRPr="00DD1A82" w:rsidRDefault="00DD1A82" w:rsidP="00DD1A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выписке бесплатного рецепта родители (законные представители) вправе с соответствующим заявлением обратиться в Министерство здравоохранения субъекта, либо в прокуратуру по месту нахождения медицинской организации.</w:t>
      </w:r>
    </w:p>
    <w:p w:rsidR="00DD1A82" w:rsidRPr="0067798B" w:rsidRDefault="00DD1A82" w:rsidP="00DD1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1A82" w:rsidRDefault="00DD1A82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Приобретение (ремонт) контейнеров (бункеров) для сбора твердых коммунальных отходов, а также уборка мест их погрузки является обязанностью региональных операторов</w:t>
      </w:r>
      <w:r w:rsidR="00544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сельских поселений</w:t>
      </w:r>
      <w:bookmarkStart w:id="0" w:name="_GoBack"/>
      <w:bookmarkEnd w:id="0"/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2019 года Федеральным законом № 458-ФЗ внесены изменения в Федеральный закон от 24.06.1998 № 89-ФЗ «Об отходах производства и потребления».</w:t>
      </w:r>
    </w:p>
    <w:p w:rsidR="006F7D41" w:rsidRPr="006F7D41" w:rsidRDefault="00305EE0" w:rsidP="006F7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Нововведения направлены на совершенствование системы регулирования в области обращения с отходами, повышение уровня экологической безопасности, внедрение института регионального оператора по обращению с твердыми коммунальными отходами, организацию всей цепочки обращения с ТКО, в том числе в частном секторе и в сельских территориях, дооснащение системы недостающими объектами ТКО (мусороперегрузочными станциями, объектами </w:t>
      </w:r>
      <w:r w:rsidRPr="006F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 обработки, а также необходимым количеством спецтехники, оборудованием, контейнерами).</w:t>
      </w:r>
      <w:proofErr w:type="gramEnd"/>
    </w:p>
    <w:p w:rsidR="006F7D41" w:rsidRPr="006F7D41" w:rsidRDefault="006F7D41" w:rsidP="006F7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D41">
        <w:rPr>
          <w:rFonts w:ascii="Times New Roman" w:hAnsi="Times New Roman" w:cs="Times New Roman"/>
          <w:sz w:val="28"/>
          <w:szCs w:val="28"/>
        </w:rPr>
        <w:t xml:space="preserve">Согласно статье 8 </w:t>
      </w:r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24.06.1998 № 89-ФЗ «Об отходах производства и потребления» (в редакции Федерального закона от 31.12.2017     № 503-ФЗ) с 01 января 2019 года к полномочиям органов местного самоуправления городских поселений и муниципальных районов в области обращения с твердыми коммунальными отходами относятся: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</w:t>
      </w:r>
      <w:r w:rsidRPr="006F7D41">
        <w:rPr>
          <w:rFonts w:ascii="Times New Roman" w:eastAsia="Calibri" w:hAnsi="Times New Roman" w:cs="Times New Roman"/>
          <w:sz w:val="28"/>
          <w:szCs w:val="28"/>
        </w:rPr>
        <w:lastRenderedPageBreak/>
        <w:t>когда</w:t>
      </w:r>
      <w:proofErr w:type="gramEnd"/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 такая обязанность лежит на других лицах;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:rsidR="006F7D41" w:rsidRDefault="006F7D41" w:rsidP="006F7D41">
      <w:pPr>
        <w:shd w:val="clear" w:color="auto" w:fill="FFFFFF"/>
        <w:tabs>
          <w:tab w:val="left" w:pos="1128"/>
        </w:tabs>
        <w:spacing w:after="0" w:line="240" w:lineRule="auto"/>
        <w:ind w:left="10" w:right="1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</w:t>
      </w:r>
      <w:hyperlink r:id="rId13" w:history="1">
        <w:r w:rsidRPr="006F7D41">
          <w:rPr>
            <w:rFonts w:ascii="Times New Roman" w:hAnsi="Times New Roman" w:cs="Times New Roman"/>
            <w:sz w:val="28"/>
            <w:szCs w:val="28"/>
          </w:rPr>
          <w:t>части 1 статьи 14</w:t>
        </w:r>
      </w:hyperlink>
      <w:r w:rsidRPr="006F7D4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пункту 4 статьи 1 Закон Курской области от 23.08.2016 № 57-ЗКО «О закреплении за сельскими поселениями Курской области отдельных вопросов местного значения» участие в организации деятельности по накоплению (в том числе раздельному накоплению) и транспортированию твердых коммунальных отходов отнесено к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305EE0" w:rsidRPr="006F7D41" w:rsidRDefault="00305EE0" w:rsidP="006F7D41">
      <w:pPr>
        <w:shd w:val="clear" w:color="auto" w:fill="FFFFFF"/>
        <w:tabs>
          <w:tab w:val="left" w:pos="1128"/>
        </w:tabs>
        <w:spacing w:after="0" w:line="240" w:lineRule="auto"/>
        <w:ind w:left="10" w:right="1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 ред. от 15.12.2018), контейнерная площадка представляет собой место (площадку) накопления твердых коммунальных отходов, обустроенное в соответствии с требованиями законодательства Российской Федерации в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контейнеров и бункеров.</w:t>
      </w:r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обязанность по содержанию контейнерных площадок, расположенных на придомовой территории, входящей в состав общего имущества многоквартирного дома, несут собственники помещений в таком доме.</w:t>
      </w:r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Бремя содержания контейнерных площадок, не входящих в состав общего имущества собственников помещений в многоквартирном доме, несут собственники земельного участка, на котором расположены такие площадки.</w:t>
      </w:r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одновременно свидетельствует, что на собственников земельных участков, на которых размещены контейнерные площадки для накопления твердых коммунальных отходов, возложена обязанность только по содержанию данных площадок (обустройству, покраске и т.п.), а не приобретение контейнеров (бункеров) для сбора отходов.</w:t>
      </w:r>
    </w:p>
    <w:p w:rsidR="00305EE0" w:rsidRPr="00DD1A82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13(1)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 ред. от 15.12.2018), именно региональный оператор, а не кто-либо иной ежегодно, не позднее 25 декабря года, предшествующего году фактического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контейнеров и бункеров,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местах (площадках) накопления твердых коммунальных отходов, на которых планируется разместить такие контейнеры и бункеры.</w:t>
      </w:r>
    </w:p>
    <w:p w:rsidR="00305EE0" w:rsidRPr="006F7D41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90 Правил регулирования тарифов в сфере обращения с твердыми коммунальными отходами, утвержденных постановлением Правительства РФ от 30.05.2016 № 484 (в ред. от 15.12.2018), необходимая </w:t>
      </w:r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валовая выручка регионального оператора определяется в соответствии с методическими указаниями как сумма необходимой валовой выручки организаций, осуществляющих регулируемые виды деятельности в области обращения с твердыми коммунальными отходами, включая обработку твердых коммунальных отходов, в том числе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собственная необходимая валовая выручка регионального оператора, относимая на такие виды деятельности, расходов на транспортирование твердых коммунальных отходов, а также расходов на </w:t>
      </w:r>
      <w:r w:rsidRPr="006F7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и бункеров для накопления твердых коммунальных отходов и их содержание, уборку мест погрузки твердых коммунальных отходов и расходов.</w:t>
      </w:r>
    </w:p>
    <w:p w:rsidR="006F7D41" w:rsidRPr="006F7D41" w:rsidRDefault="00305EE0" w:rsidP="006F7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контейнеров и бункеров и их содержание определяются в размере, не превышающем 1 процента необходимой валовой выручки регионального оператора на очередной период регулирования.</w:t>
      </w:r>
    </w:p>
    <w:p w:rsidR="006F7D41" w:rsidRPr="006F7D41" w:rsidRDefault="006F7D41" w:rsidP="006F7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D4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F7D41">
        <w:rPr>
          <w:rFonts w:ascii="Times New Roman" w:hAnsi="Times New Roman" w:cs="Times New Roman"/>
          <w:sz w:val="28"/>
          <w:szCs w:val="28"/>
        </w:rPr>
        <w:t xml:space="preserve"> Территориальной схемы обращения с отходами, утвержденной приказом комитета ЖКХ и ТЭК Курской области от 08.05.2019 № 65,</w:t>
      </w:r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 обновление контейнерного парка может быть возложено на регионального оператора в пределах 1% от его необходимой валовой выручки в случае, если эти затраты включены в единый тариф регионального оператора.</w:t>
      </w:r>
    </w:p>
    <w:p w:rsidR="006F7D41" w:rsidRPr="006F7D41" w:rsidRDefault="006F7D41" w:rsidP="006F7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Потребность в контейнерном парке и местах накопления определяется региональным оператором совместно с органами местного самоуправления с учетом применяемых методов сбора, технических характеристик используемой </w:t>
      </w:r>
      <w:proofErr w:type="spellStart"/>
      <w:r w:rsidRPr="006F7D41">
        <w:rPr>
          <w:rFonts w:ascii="Times New Roman" w:eastAsia="Calibri" w:hAnsi="Times New Roman" w:cs="Times New Roman"/>
          <w:sz w:val="28"/>
          <w:szCs w:val="28"/>
        </w:rPr>
        <w:t>мусоровывозящей</w:t>
      </w:r>
      <w:proofErr w:type="spellEnd"/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 техники, характеристик имеющихся контейнеров, требований правил обустройства мест (площадок) накопления и норм СанПиН.</w:t>
      </w:r>
    </w:p>
    <w:p w:rsidR="006F7D41" w:rsidRPr="006F7D41" w:rsidRDefault="006F7D41" w:rsidP="006F7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41">
        <w:rPr>
          <w:rFonts w:ascii="Times New Roman" w:hAnsi="Times New Roman" w:cs="Times New Roman"/>
          <w:sz w:val="28"/>
          <w:szCs w:val="28"/>
        </w:rPr>
        <w:t xml:space="preserve">Таким образом, приобретение контейнеров (бункеров) для накопления твердых коммунальных отходов являются </w:t>
      </w:r>
      <w:proofErr w:type="gramStart"/>
      <w:r w:rsidRPr="006F7D41">
        <w:rPr>
          <w:rFonts w:ascii="Times New Roman" w:hAnsi="Times New Roman" w:cs="Times New Roman"/>
          <w:sz w:val="28"/>
          <w:szCs w:val="28"/>
        </w:rPr>
        <w:t>обязанностью</w:t>
      </w:r>
      <w:proofErr w:type="gramEnd"/>
      <w:r w:rsidRPr="006F7D41">
        <w:rPr>
          <w:rFonts w:ascii="Times New Roman" w:hAnsi="Times New Roman" w:cs="Times New Roman"/>
          <w:sz w:val="28"/>
          <w:szCs w:val="28"/>
        </w:rPr>
        <w:t xml:space="preserve"> как регионального оператора, так и органов местного самоуправления сельских поселений.</w:t>
      </w:r>
    </w:p>
    <w:p w:rsidR="00305EE0" w:rsidRPr="0067798B" w:rsidRDefault="00305EE0" w:rsidP="00305E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05EE0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EE0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EE0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EE0" w:rsidRDefault="00305EE0" w:rsidP="00305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E0" w:rsidRPr="0067798B" w:rsidRDefault="00305EE0" w:rsidP="00DD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5EE0" w:rsidRPr="0067798B" w:rsidSect="008C53F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5C05"/>
    <w:rsid w:val="000F0A3F"/>
    <w:rsid w:val="001B5E4F"/>
    <w:rsid w:val="002E5F76"/>
    <w:rsid w:val="002F609A"/>
    <w:rsid w:val="00305EE0"/>
    <w:rsid w:val="00394177"/>
    <w:rsid w:val="004E700B"/>
    <w:rsid w:val="00544900"/>
    <w:rsid w:val="0067798B"/>
    <w:rsid w:val="00694F74"/>
    <w:rsid w:val="006F7D41"/>
    <w:rsid w:val="00715622"/>
    <w:rsid w:val="008312B9"/>
    <w:rsid w:val="008C53F1"/>
    <w:rsid w:val="00A125B8"/>
    <w:rsid w:val="00A4570F"/>
    <w:rsid w:val="00AF5C05"/>
    <w:rsid w:val="00BB0FF5"/>
    <w:rsid w:val="00C44F38"/>
    <w:rsid w:val="00D9055B"/>
    <w:rsid w:val="00DD1A82"/>
    <w:rsid w:val="00E63D0E"/>
    <w:rsid w:val="00E90E07"/>
    <w:rsid w:val="00F0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0E"/>
  </w:style>
  <w:style w:type="paragraph" w:styleId="1">
    <w:name w:val="heading 1"/>
    <w:basedOn w:val="a"/>
    <w:link w:val="10"/>
    <w:uiPriority w:val="9"/>
    <w:qFormat/>
    <w:rsid w:val="00DD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A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1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D1A82"/>
    <w:rPr>
      <w:color w:val="0000FF"/>
      <w:u w:val="single"/>
    </w:rPr>
  </w:style>
  <w:style w:type="character" w:customStyle="1" w:styleId="tags">
    <w:name w:val="tags"/>
    <w:basedOn w:val="a0"/>
    <w:rsid w:val="00DD1A82"/>
  </w:style>
  <w:style w:type="character" w:customStyle="1" w:styleId="20">
    <w:name w:val="Заголовок 2 Знак"/>
    <w:basedOn w:val="a0"/>
    <w:link w:val="2"/>
    <w:uiPriority w:val="9"/>
    <w:semiHidden/>
    <w:rsid w:val="00DD1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0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A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1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D1A82"/>
    <w:rPr>
      <w:color w:val="0000FF"/>
      <w:u w:val="single"/>
    </w:rPr>
  </w:style>
  <w:style w:type="character" w:customStyle="1" w:styleId="tags">
    <w:name w:val="tags"/>
    <w:basedOn w:val="a0"/>
    <w:rsid w:val="00DD1A82"/>
  </w:style>
  <w:style w:type="character" w:customStyle="1" w:styleId="20">
    <w:name w:val="Заголовок 2 Знак"/>
    <w:basedOn w:val="a0"/>
    <w:link w:val="2"/>
    <w:uiPriority w:val="9"/>
    <w:semiHidden/>
    <w:rsid w:val="00DD1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0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532">
          <w:marLeft w:val="0"/>
          <w:marRight w:val="0"/>
          <w:marTop w:val="150"/>
          <w:marBottom w:val="15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25CA1B6A32A0DD87E198384D3DD2F3D857925EEBAEDE57B47C0DD926229D71633A01E4049727D3549F7A32004BEC97FF3D33503BC4D8E67X1H" TargetMode="External"/><Relationship Id="rId13" Type="http://schemas.openxmlformats.org/officeDocument/2006/relationships/hyperlink" Target="consultantplus://offline/ref=861575EE8120FC573D764B63D40E24200DAC56BA3F770F68D28F81354F63CE8F7ECDAC697A3389E886D9778FECE3F0D859FEDF5D48EAN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5B1705D42B7C1342AA7CA47146EC37DD0FBFBCDE9208658EEFDE395C53DF789B56CD425F8AA411FD7C31172179650F19BEEE105B1CD9F7A7F2SBbEH" TargetMode="External"/><Relationship Id="rId12" Type="http://schemas.openxmlformats.org/officeDocument/2006/relationships/hyperlink" Target="consultantplus://offline/ref=6085E442E5FC340761D4936F2F2C510A50FA084888A7E68D94123882E578F903EF2148BDA12AC6992E62175419C09E0022BCA97B77CFA750F3ND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625CA1B6A32A0DD87E068D90A6887C33857C2CE9B0EEB02C4591889C6721875E23EE5B4D4970783047A1F93000F79D72ECD32F1DBA538D78BB6EX3H" TargetMode="External"/><Relationship Id="rId11" Type="http://schemas.openxmlformats.org/officeDocument/2006/relationships/hyperlink" Target="consultantplus://offline/ref=6085E442E5FC340761D4936F2F2C510A50FA084D86A6E68D94123882E578F903EF2148BBA222CDCB7A2D16085C948D0122BCAB7A68FCN4G" TargetMode="External"/><Relationship Id="rId5" Type="http://schemas.openxmlformats.org/officeDocument/2006/relationships/hyperlink" Target="consultantplus://offline/ref=DD625CA1B6A32A0DD87E198384D3DD2F3D857925EEBAEDE57B47C0DD926229D71633A01B49417B2C6106F6FF6551ADC87BF3D1311C6BX7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6C3EA0D83186B3706FB1AD229DA87060A63BE336D6241D3847A1343E05E064FFF549275804U2f7P" TargetMode="External"/><Relationship Id="rId4" Type="http://schemas.openxmlformats.org/officeDocument/2006/relationships/hyperlink" Target="consultantplus://offline/ref=DD625CA1B6A32A0DD87E198384D3DD2F3D857925EEBAEDE57B47C0DD926229D71633A01B444D7B2C6106F6FF6551ADC87BF3D1311C6BX7H" TargetMode="External"/><Relationship Id="rId9" Type="http://schemas.openxmlformats.org/officeDocument/2006/relationships/hyperlink" Target="consultantplus://offline/ref=DD625CA1B6A32A0DD87E198384D3DD2F3D857925EEBAEDE57B47C0DD926229D71633A01E404971703449F7A32004BEC97FF3D33503BC4D8E67X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2019-05-15T14:00:00Z</cp:lastPrinted>
  <dcterms:created xsi:type="dcterms:W3CDTF">2019-05-13T15:02:00Z</dcterms:created>
  <dcterms:modified xsi:type="dcterms:W3CDTF">2019-05-23T05:30:00Z</dcterms:modified>
</cp:coreProperties>
</file>